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500" w:lineRule="exact"/>
        <w:jc w:val="center"/>
        <w:rPr>
          <w:rFonts w:hint="eastAsia" w:cs="Times New Roman" w:asciiTheme="majorEastAsia" w:hAnsiTheme="majorEastAsia" w:eastAsiaTheme="majorEastAsia"/>
          <w:b/>
          <w:bCs w:val="0"/>
          <w:sz w:val="44"/>
          <w:szCs w:val="44"/>
        </w:rPr>
      </w:pPr>
      <w:r>
        <w:rPr>
          <w:rFonts w:hint="eastAsia" w:cs="Times New Roman" w:asciiTheme="majorEastAsia" w:hAnsiTheme="majorEastAsia" w:eastAsiaTheme="majorEastAsia"/>
          <w:b/>
          <w:bCs w:val="0"/>
          <w:sz w:val="44"/>
          <w:szCs w:val="44"/>
        </w:rPr>
        <w:t>上古街停车楼等5个停车楼广告牌招租须知</w:t>
      </w:r>
    </w:p>
    <w:p>
      <w:pPr>
        <w:widowControl/>
        <w:tabs>
          <w:tab w:val="left" w:pos="540"/>
        </w:tabs>
        <w:spacing w:line="550" w:lineRule="exact"/>
        <w:ind w:firstLine="600" w:firstLineChars="200"/>
        <w:jc w:val="left"/>
        <w:rPr>
          <w:rFonts w:hint="eastAsia" w:ascii="黑体" w:hAnsi="黑体" w:eastAsia="黑体" w:cs="黑体"/>
          <w:b w:val="0"/>
          <w:bCs w:val="0"/>
          <w:kern w:val="0"/>
          <w:sz w:val="30"/>
          <w:szCs w:val="30"/>
        </w:rPr>
      </w:pPr>
    </w:p>
    <w:p>
      <w:pPr>
        <w:ind w:right="210" w:rightChars="100" w:firstLine="600" w:firstLineChars="200"/>
        <w:rPr>
          <w:rFonts w:ascii="仿宋" w:hAnsi="仿宋" w:eastAsia="仿宋"/>
          <w:kern w:val="0"/>
          <w:sz w:val="30"/>
          <w:szCs w:val="30"/>
        </w:rPr>
      </w:pPr>
      <w:r>
        <w:rPr>
          <w:rFonts w:hint="eastAsia" w:ascii="仿宋" w:hAnsi="仿宋" w:eastAsia="仿宋"/>
          <w:kern w:val="0"/>
          <w:sz w:val="30"/>
          <w:szCs w:val="30"/>
        </w:rPr>
        <w:t>车场广告牌为</w:t>
      </w:r>
      <w:r>
        <w:rPr>
          <w:rFonts w:ascii="仿宋" w:hAnsi="仿宋" w:eastAsia="仿宋"/>
          <w:kern w:val="0"/>
          <w:sz w:val="30"/>
          <w:szCs w:val="30"/>
        </w:rPr>
        <w:t>我司</w:t>
      </w:r>
      <w:r>
        <w:rPr>
          <w:rFonts w:hint="eastAsia" w:ascii="仿宋" w:hAnsi="仿宋" w:eastAsia="仿宋"/>
          <w:kern w:val="0"/>
          <w:sz w:val="30"/>
          <w:szCs w:val="30"/>
        </w:rPr>
        <w:t>停车场配套商业资产，为充分利用场地资源，提升场地效益，充分发挥国有资产最大效益，现针对上古街停车楼、厦大南普陀地下停车场、凤凰园停车场、万寿外口停车库及前埔南区小学地下停车场5个较为成熟、具备广告价值的停车场广告牌经营权进行招租，共计设置46面广告位。</w:t>
      </w:r>
    </w:p>
    <w:p>
      <w:pPr>
        <w:spacing w:afterLines="50"/>
        <w:ind w:firstLine="600" w:firstLineChars="200"/>
        <w:rPr>
          <w:rFonts w:ascii="仿宋" w:hAnsi="仿宋" w:eastAsia="仿宋"/>
          <w:kern w:val="0"/>
          <w:sz w:val="30"/>
          <w:szCs w:val="30"/>
        </w:rPr>
      </w:pPr>
      <w:r>
        <w:rPr>
          <w:rFonts w:hint="eastAsia" w:ascii="仿宋" w:hAnsi="仿宋" w:eastAsia="仿宋"/>
          <w:kern w:val="0"/>
          <w:sz w:val="30"/>
          <w:szCs w:val="30"/>
        </w:rPr>
        <w:t>招租条件公开如下：</w:t>
      </w:r>
    </w:p>
    <w:p>
      <w:pPr>
        <w:ind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一、项目基本情况</w:t>
      </w:r>
    </w:p>
    <w:p>
      <w:pPr>
        <w:spacing w:line="600" w:lineRule="exact"/>
        <w:ind w:firstLine="600" w:firstLineChars="200"/>
        <w:rPr>
          <w:rFonts w:ascii="仿宋" w:hAnsi="仿宋" w:eastAsia="仿宋"/>
          <w:kern w:val="0"/>
          <w:sz w:val="30"/>
          <w:szCs w:val="30"/>
        </w:rPr>
      </w:pPr>
      <w:r>
        <w:rPr>
          <w:rFonts w:hint="eastAsia" w:ascii="仿宋" w:hAnsi="仿宋" w:eastAsia="仿宋"/>
          <w:kern w:val="0"/>
          <w:sz w:val="30"/>
          <w:szCs w:val="30"/>
        </w:rPr>
        <w:t>1.上古街停车楼、厦大南普陀地下停车场、凤凰园停车场、万寿外口停车库及前埔南区小学地下停车场共计设置46面广告位，面积约为219㎡（具体位置及数量见附件）</w:t>
      </w:r>
    </w:p>
    <w:p>
      <w:pPr>
        <w:spacing w:line="600" w:lineRule="exact"/>
        <w:ind w:firstLine="600" w:firstLineChars="200"/>
        <w:rPr>
          <w:rFonts w:ascii="仿宋" w:hAnsi="仿宋" w:eastAsia="仿宋"/>
          <w:kern w:val="0"/>
          <w:sz w:val="30"/>
          <w:szCs w:val="30"/>
        </w:rPr>
      </w:pPr>
      <w:r>
        <w:rPr>
          <w:rFonts w:hint="eastAsia" w:ascii="仿宋" w:hAnsi="仿宋" w:eastAsia="仿宋"/>
          <w:kern w:val="0"/>
          <w:sz w:val="30"/>
          <w:szCs w:val="30"/>
        </w:rPr>
        <w:t>2.招租方按</w:t>
      </w:r>
      <w:r>
        <w:rPr>
          <w:rFonts w:ascii="仿宋" w:hAnsi="仿宋" w:eastAsia="仿宋"/>
          <w:kern w:val="0"/>
          <w:sz w:val="30"/>
          <w:szCs w:val="30"/>
        </w:rPr>
        <w:t>现状移交租赁标的物</w:t>
      </w:r>
      <w:r>
        <w:rPr>
          <w:rFonts w:hint="eastAsia" w:ascii="仿宋" w:hAnsi="仿宋" w:eastAsia="仿宋"/>
          <w:kern w:val="0"/>
          <w:sz w:val="30"/>
          <w:szCs w:val="30"/>
        </w:rPr>
        <w:t xml:space="preserve">。 </w:t>
      </w:r>
    </w:p>
    <w:p>
      <w:pPr>
        <w:spacing w:line="600" w:lineRule="exact"/>
        <w:ind w:firstLine="600" w:firstLineChars="200"/>
        <w:rPr>
          <w:rFonts w:ascii="仿宋" w:hAnsi="仿宋" w:eastAsia="仿宋"/>
          <w:kern w:val="0"/>
          <w:sz w:val="30"/>
          <w:szCs w:val="30"/>
        </w:rPr>
      </w:pPr>
      <w:r>
        <w:rPr>
          <w:rFonts w:hint="eastAsia" w:ascii="仿宋" w:hAnsi="仿宋" w:eastAsia="仿宋"/>
          <w:kern w:val="0"/>
          <w:sz w:val="30"/>
          <w:szCs w:val="30"/>
        </w:rPr>
        <w:t>3.期限3年，每年递增5%。</w:t>
      </w:r>
    </w:p>
    <w:p>
      <w:pPr>
        <w:spacing w:line="600" w:lineRule="exact"/>
        <w:ind w:firstLine="600" w:firstLineChars="200"/>
        <w:rPr>
          <w:rFonts w:ascii="仿宋" w:hAnsi="仿宋" w:eastAsia="仿宋"/>
          <w:kern w:val="0"/>
          <w:sz w:val="30"/>
          <w:szCs w:val="30"/>
        </w:rPr>
      </w:pPr>
      <w:r>
        <w:rPr>
          <w:rFonts w:hint="eastAsia" w:ascii="仿宋" w:hAnsi="仿宋" w:eastAsia="仿宋"/>
          <w:kern w:val="0"/>
          <w:sz w:val="30"/>
          <w:szCs w:val="30"/>
        </w:rPr>
        <w:t>4.租金收缴方式：半年一付，先付后用。</w:t>
      </w:r>
    </w:p>
    <w:p>
      <w:pPr>
        <w:ind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二、项目出租功能规划</w:t>
      </w:r>
    </w:p>
    <w:p>
      <w:pPr>
        <w:ind w:left="0" w:firstLine="600" w:firstLineChars="200"/>
        <w:rPr>
          <w:rFonts w:hint="eastAsia" w:ascii="仿宋" w:hAnsi="仿宋" w:eastAsia="仿宋"/>
          <w:sz w:val="30"/>
          <w:szCs w:val="30"/>
        </w:rPr>
      </w:pPr>
      <w:r>
        <w:rPr>
          <w:rFonts w:hint="eastAsia" w:ascii="仿宋" w:hAnsi="仿宋" w:eastAsia="仿宋"/>
          <w:sz w:val="30"/>
          <w:szCs w:val="30"/>
        </w:rPr>
        <w:t>本项目功能规划：广告位</w:t>
      </w:r>
    </w:p>
    <w:p>
      <w:pPr>
        <w:ind w:left="0"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三、租赁期限</w:t>
      </w:r>
    </w:p>
    <w:p>
      <w:pPr>
        <w:ind w:firstLine="600" w:firstLineChars="200"/>
        <w:rPr>
          <w:rFonts w:ascii="仿宋" w:hAnsi="仿宋" w:eastAsia="仿宋"/>
          <w:kern w:val="0"/>
          <w:sz w:val="30"/>
          <w:szCs w:val="30"/>
        </w:rPr>
      </w:pPr>
      <w:r>
        <w:rPr>
          <w:rFonts w:hint="eastAsia" w:ascii="仿宋" w:hAnsi="仿宋" w:eastAsia="仿宋"/>
          <w:kern w:val="0"/>
          <w:sz w:val="30"/>
          <w:szCs w:val="30"/>
        </w:rPr>
        <w:t>租赁期限3年，自租赁标的物交付之日起计，招租方将在合同签订完成后10个工作日内移交标的物。</w:t>
      </w:r>
    </w:p>
    <w:p>
      <w:pPr>
        <w:ind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四、竞租人资格要求</w:t>
      </w:r>
    </w:p>
    <w:p>
      <w:pPr>
        <w:ind w:firstLine="600" w:firstLineChars="200"/>
        <w:rPr>
          <w:rFonts w:ascii="仿宋" w:hAnsi="仿宋" w:eastAsia="仿宋"/>
          <w:kern w:val="0"/>
          <w:sz w:val="30"/>
          <w:szCs w:val="30"/>
        </w:rPr>
      </w:pPr>
      <w:r>
        <w:rPr>
          <w:rFonts w:hint="eastAsia" w:ascii="仿宋" w:hAnsi="仿宋" w:eastAsia="仿宋"/>
          <w:kern w:val="0"/>
          <w:sz w:val="30"/>
          <w:szCs w:val="30"/>
        </w:rPr>
        <w:t>1.参与竞租客户必须有相关成功案例；</w:t>
      </w:r>
    </w:p>
    <w:p>
      <w:pPr>
        <w:ind w:firstLine="600" w:firstLineChars="200"/>
        <w:rPr>
          <w:rFonts w:ascii="仿宋" w:hAnsi="仿宋" w:eastAsia="仿宋"/>
          <w:kern w:val="0"/>
          <w:sz w:val="30"/>
          <w:szCs w:val="30"/>
        </w:rPr>
      </w:pPr>
      <w:r>
        <w:rPr>
          <w:rFonts w:hint="eastAsia" w:ascii="仿宋" w:hAnsi="仿宋" w:eastAsia="仿宋"/>
          <w:kern w:val="0"/>
          <w:sz w:val="30"/>
          <w:szCs w:val="30"/>
        </w:rPr>
        <w:t>2.参与竞租客户必须有相关广告经营范围；</w:t>
      </w:r>
    </w:p>
    <w:p>
      <w:pPr>
        <w:tabs>
          <w:tab w:val="left" w:pos="540"/>
        </w:tabs>
        <w:ind w:firstLine="600" w:firstLineChars="200"/>
        <w:rPr>
          <w:rFonts w:hint="eastAsia" w:ascii="仿宋" w:hAnsi="仿宋" w:eastAsia="仿宋"/>
          <w:kern w:val="0"/>
          <w:sz w:val="30"/>
          <w:szCs w:val="30"/>
        </w:rPr>
      </w:pPr>
      <w:r>
        <w:rPr>
          <w:rFonts w:hint="eastAsia" w:ascii="仿宋" w:hAnsi="仿宋" w:eastAsia="仿宋"/>
          <w:kern w:val="0"/>
          <w:sz w:val="30"/>
          <w:szCs w:val="30"/>
        </w:rPr>
        <w:t>3.未被厦门市国资委列入不诚信负面名单或厦门市政集团列入失信方名单；</w:t>
      </w:r>
    </w:p>
    <w:p>
      <w:pPr>
        <w:tabs>
          <w:tab w:val="left" w:pos="540"/>
        </w:tabs>
        <w:spacing w:line="240" w:lineRule="auto"/>
        <w:ind w:firstLine="600" w:firstLineChars="200"/>
        <w:rPr>
          <w:rFonts w:hint="eastAsia" w:ascii="仿宋" w:hAnsi="仿宋" w:eastAsia="仿宋" w:cs="Times New Roman"/>
          <w:kern w:val="0"/>
          <w:sz w:val="30"/>
          <w:szCs w:val="30"/>
          <w:lang w:val="en-US" w:eastAsia="zh-CN"/>
        </w:rPr>
      </w:pPr>
      <w:r>
        <w:rPr>
          <w:rFonts w:hint="eastAsia" w:ascii="仿宋" w:hAnsi="仿宋" w:eastAsia="仿宋" w:cs="Times New Roman"/>
          <w:kern w:val="0"/>
          <w:sz w:val="30"/>
          <w:szCs w:val="30"/>
          <w:lang w:val="en-US" w:eastAsia="zh-CN"/>
        </w:rPr>
        <w:t>4.</w:t>
      </w:r>
      <w:r>
        <w:rPr>
          <w:rFonts w:hint="eastAsia" w:ascii="仿宋" w:hAnsi="仿宋" w:eastAsia="仿宋" w:cs="Times New Roman"/>
          <w:kern w:val="0"/>
          <w:sz w:val="30"/>
          <w:szCs w:val="30"/>
        </w:rPr>
        <w:t>未被</w:t>
      </w:r>
      <w:r>
        <w:rPr>
          <w:rFonts w:hint="eastAsia" w:ascii="仿宋" w:hAnsi="仿宋" w:eastAsia="仿宋" w:cs="Times New Roman"/>
          <w:kern w:val="0"/>
          <w:sz w:val="30"/>
          <w:szCs w:val="30"/>
          <w:lang w:val="en-US" w:eastAsia="zh-CN"/>
        </w:rPr>
        <w:t>列入全国法院失信被执行人名单；</w:t>
      </w:r>
    </w:p>
    <w:p>
      <w:pPr>
        <w:tabs>
          <w:tab w:val="left" w:pos="540"/>
        </w:tabs>
        <w:ind w:firstLine="600" w:firstLineChars="200"/>
        <w:rPr>
          <w:rFonts w:ascii="仿宋" w:hAnsi="仿宋" w:eastAsia="仿宋"/>
          <w:sz w:val="30"/>
          <w:szCs w:val="30"/>
        </w:rPr>
      </w:pPr>
      <w:r>
        <w:rPr>
          <w:rFonts w:hint="eastAsia" w:ascii="仿宋" w:hAnsi="仿宋" w:eastAsia="仿宋" w:cs="Times New Roman"/>
          <w:kern w:val="0"/>
          <w:sz w:val="30"/>
          <w:szCs w:val="30"/>
          <w:lang w:val="en-US" w:eastAsia="zh-CN"/>
        </w:rPr>
        <w:t>5.</w:t>
      </w:r>
      <w:r>
        <w:rPr>
          <w:rFonts w:hint="eastAsia" w:ascii="仿宋" w:hAnsi="仿宋" w:eastAsia="仿宋"/>
          <w:sz w:val="30"/>
          <w:szCs w:val="30"/>
        </w:rPr>
        <w:t>谢绝中介机构参与竞租，该项目不得转租。</w:t>
      </w:r>
    </w:p>
    <w:p>
      <w:pPr>
        <w:ind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五、资格审查</w:t>
      </w:r>
    </w:p>
    <w:p>
      <w:pPr>
        <w:ind w:firstLine="600" w:firstLineChars="200"/>
        <w:rPr>
          <w:rFonts w:ascii="仿宋" w:hAnsi="仿宋" w:eastAsia="仿宋"/>
          <w:kern w:val="0"/>
          <w:sz w:val="30"/>
          <w:szCs w:val="30"/>
        </w:rPr>
      </w:pPr>
      <w:r>
        <w:rPr>
          <w:rFonts w:hint="eastAsia" w:ascii="仿宋" w:hAnsi="仿宋" w:eastAsia="仿宋"/>
          <w:kern w:val="0"/>
          <w:sz w:val="30"/>
          <w:szCs w:val="30"/>
        </w:rPr>
        <w:t>意向竞租</w:t>
      </w:r>
      <w:r>
        <w:rPr>
          <w:rFonts w:ascii="仿宋" w:hAnsi="仿宋" w:eastAsia="仿宋"/>
          <w:kern w:val="0"/>
          <w:sz w:val="30"/>
          <w:szCs w:val="30"/>
        </w:rPr>
        <w:t>人</w:t>
      </w:r>
      <w:r>
        <w:rPr>
          <w:rFonts w:hint="eastAsia" w:ascii="仿宋" w:hAnsi="仿宋" w:eastAsia="仿宋"/>
          <w:kern w:val="0"/>
          <w:sz w:val="30"/>
          <w:szCs w:val="30"/>
        </w:rPr>
        <w:t>应在提交截止时间前以密封的形式提交以下资格预审材料至我司：厦门市湖里区云顶中路2777号市政大厦1018室</w:t>
      </w:r>
    </w:p>
    <w:p>
      <w:pPr>
        <w:ind w:firstLine="600" w:firstLineChars="200"/>
        <w:rPr>
          <w:rFonts w:ascii="仿宋" w:hAnsi="仿宋" w:eastAsia="仿宋"/>
          <w:kern w:val="0"/>
          <w:sz w:val="30"/>
          <w:szCs w:val="30"/>
        </w:rPr>
      </w:pPr>
      <w:r>
        <w:rPr>
          <w:rFonts w:hint="eastAsia" w:ascii="仿宋" w:hAnsi="仿宋" w:eastAsia="仿宋"/>
          <w:kern w:val="0"/>
          <w:sz w:val="30"/>
          <w:szCs w:val="30"/>
        </w:rPr>
        <w:t>1.企业法人营业执照（副本）复印件；</w:t>
      </w:r>
    </w:p>
    <w:p>
      <w:pPr>
        <w:ind w:firstLine="600" w:firstLineChars="200"/>
        <w:rPr>
          <w:rFonts w:ascii="仿宋" w:hAnsi="仿宋" w:eastAsia="仿宋"/>
          <w:kern w:val="0"/>
          <w:sz w:val="30"/>
          <w:szCs w:val="30"/>
        </w:rPr>
      </w:pPr>
      <w:r>
        <w:rPr>
          <w:rFonts w:hint="eastAsia" w:ascii="仿宋" w:hAnsi="仿宋" w:eastAsia="仿宋"/>
          <w:kern w:val="0"/>
          <w:sz w:val="30"/>
          <w:szCs w:val="30"/>
        </w:rPr>
        <w:t>2.企业介绍；</w:t>
      </w:r>
    </w:p>
    <w:p>
      <w:pPr>
        <w:ind w:firstLine="600" w:firstLineChars="200"/>
        <w:rPr>
          <w:rFonts w:ascii="仿宋" w:hAnsi="仿宋" w:eastAsia="仿宋"/>
          <w:kern w:val="0"/>
          <w:sz w:val="30"/>
          <w:szCs w:val="30"/>
        </w:rPr>
      </w:pPr>
      <w:r>
        <w:rPr>
          <w:rFonts w:hint="eastAsia" w:ascii="仿宋" w:hAnsi="仿宋" w:eastAsia="仿宋"/>
          <w:kern w:val="0"/>
          <w:sz w:val="30"/>
          <w:szCs w:val="30"/>
        </w:rPr>
        <w:t>3.具有良好银行资信和商业信誉的凭证（须提供人民银行出具的征信证明）；</w:t>
      </w:r>
    </w:p>
    <w:p>
      <w:pPr>
        <w:ind w:firstLine="600" w:firstLineChars="200"/>
        <w:rPr>
          <w:rFonts w:ascii="仿宋" w:hAnsi="仿宋" w:eastAsia="仿宋"/>
          <w:kern w:val="0"/>
          <w:sz w:val="30"/>
          <w:szCs w:val="30"/>
        </w:rPr>
      </w:pPr>
      <w:r>
        <w:rPr>
          <w:rFonts w:hint="eastAsia" w:ascii="仿宋" w:hAnsi="仿宋" w:eastAsia="仿宋"/>
          <w:kern w:val="0"/>
          <w:sz w:val="30"/>
          <w:szCs w:val="30"/>
        </w:rPr>
        <w:t>4.广告经营范围证明；</w:t>
      </w:r>
    </w:p>
    <w:p>
      <w:pPr>
        <w:ind w:firstLine="600" w:firstLineChars="200"/>
        <w:rPr>
          <w:rFonts w:ascii="仿宋" w:hAnsi="仿宋" w:eastAsia="仿宋"/>
          <w:kern w:val="0"/>
          <w:sz w:val="30"/>
          <w:szCs w:val="30"/>
        </w:rPr>
      </w:pPr>
      <w:r>
        <w:rPr>
          <w:rFonts w:hint="eastAsia" w:ascii="仿宋" w:hAnsi="仿宋" w:eastAsia="仿宋"/>
          <w:kern w:val="0"/>
          <w:sz w:val="30"/>
          <w:szCs w:val="30"/>
        </w:rPr>
        <w:t>5.营业业绩；</w:t>
      </w:r>
    </w:p>
    <w:p>
      <w:pPr>
        <w:ind w:firstLine="600" w:firstLineChars="200"/>
        <w:rPr>
          <w:rFonts w:ascii="仿宋" w:hAnsi="仿宋" w:eastAsia="仿宋"/>
          <w:kern w:val="0"/>
          <w:sz w:val="30"/>
          <w:szCs w:val="30"/>
        </w:rPr>
      </w:pPr>
      <w:r>
        <w:rPr>
          <w:rFonts w:hint="eastAsia" w:ascii="仿宋" w:hAnsi="仿宋" w:eastAsia="仿宋"/>
          <w:kern w:val="0"/>
          <w:sz w:val="30"/>
          <w:szCs w:val="30"/>
        </w:rPr>
        <w:t>6.竞标保证金缴款凭证复印件。</w:t>
      </w:r>
    </w:p>
    <w:p>
      <w:pPr>
        <w:ind w:firstLine="600" w:firstLineChars="200"/>
        <w:rPr>
          <w:rFonts w:ascii="仿宋" w:hAnsi="仿宋" w:eastAsia="仿宋"/>
          <w:kern w:val="0"/>
          <w:sz w:val="30"/>
          <w:szCs w:val="30"/>
        </w:rPr>
      </w:pPr>
      <w:r>
        <w:rPr>
          <w:rFonts w:hint="eastAsia" w:ascii="仿宋" w:hAnsi="仿宋" w:eastAsia="仿宋"/>
          <w:kern w:val="0"/>
          <w:sz w:val="30"/>
          <w:szCs w:val="30"/>
        </w:rPr>
        <w:t>以上资料均应加盖意向竞租人公章。</w:t>
      </w:r>
      <w:r>
        <w:rPr>
          <w:rFonts w:hint="eastAsia" w:ascii="仿宋" w:hAnsi="仿宋" w:eastAsia="仿宋"/>
          <w:sz w:val="30"/>
          <w:szCs w:val="30"/>
        </w:rPr>
        <w:t>满足所有资格</w:t>
      </w:r>
      <w:r>
        <w:rPr>
          <w:rFonts w:ascii="仿宋" w:hAnsi="仿宋" w:eastAsia="仿宋"/>
          <w:sz w:val="30"/>
          <w:szCs w:val="30"/>
        </w:rPr>
        <w:t>要求的意向竞租人视为通过资格预审，方具有竞价资格。</w:t>
      </w:r>
    </w:p>
    <w:p>
      <w:pPr>
        <w:ind w:firstLine="600" w:firstLineChars="200"/>
        <w:rPr>
          <w:rFonts w:ascii="仿宋" w:hAnsi="仿宋" w:eastAsia="仿宋"/>
          <w:kern w:val="0"/>
          <w:sz w:val="30"/>
          <w:szCs w:val="30"/>
        </w:rPr>
      </w:pPr>
      <w:r>
        <w:rPr>
          <w:rFonts w:hint="eastAsia" w:ascii="仿宋" w:hAnsi="仿宋" w:eastAsia="仿宋"/>
          <w:kern w:val="0"/>
          <w:sz w:val="30"/>
          <w:szCs w:val="30"/>
        </w:rPr>
        <w:t>资格审查材料提交截止时间：2021年9月22日10：00。</w:t>
      </w:r>
    </w:p>
    <w:p>
      <w:pPr>
        <w:ind w:firstLine="600" w:firstLineChars="200"/>
        <w:rPr>
          <w:rFonts w:ascii="仿宋" w:hAnsi="仿宋" w:eastAsia="仿宋"/>
          <w:kern w:val="0"/>
          <w:sz w:val="30"/>
          <w:szCs w:val="30"/>
        </w:rPr>
      </w:pPr>
      <w:r>
        <w:rPr>
          <w:rFonts w:hint="eastAsia" w:ascii="仿宋" w:hAnsi="仿宋" w:eastAsia="仿宋"/>
          <w:kern w:val="0"/>
          <w:sz w:val="30"/>
          <w:szCs w:val="30"/>
        </w:rPr>
        <w:t>网上竞价开标时间：2021年9月23日10：00。</w:t>
      </w:r>
    </w:p>
    <w:p>
      <w:pPr>
        <w:ind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六、本次招租具体要求</w:t>
      </w:r>
    </w:p>
    <w:p>
      <w:pPr>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color w:val="000000" w:themeColor="text1"/>
          <w:sz w:val="30"/>
          <w:szCs w:val="30"/>
          <w14:textFill>
            <w14:solidFill>
              <w14:schemeClr w14:val="tx1"/>
            </w14:solidFill>
          </w14:textFill>
        </w:rPr>
        <w:t>承租人不得以任何形式对承租标的物进行转租、转借、转让、分租承包,严禁将承租标的物进行任何形式的抵押。</w:t>
      </w:r>
    </w:p>
    <w:p>
      <w:pPr>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本</w:t>
      </w:r>
      <w:r>
        <w:rPr>
          <w:rFonts w:hint="eastAsia" w:ascii="仿宋" w:hAnsi="仿宋" w:eastAsia="仿宋"/>
          <w:kern w:val="0"/>
          <w:sz w:val="30"/>
          <w:szCs w:val="30"/>
        </w:rPr>
        <w:t>租赁标的物将委托我司合作招标企业进行网上公开竞租</w:t>
      </w:r>
      <w:r>
        <w:rPr>
          <w:rFonts w:hint="eastAsia" w:ascii="仿宋" w:hAnsi="仿宋" w:eastAsia="仿宋"/>
          <w:sz w:val="30"/>
          <w:szCs w:val="30"/>
        </w:rPr>
        <w:t>。</w:t>
      </w:r>
    </w:p>
    <w:p>
      <w:pPr>
        <w:ind w:firstLine="600" w:firstLineChars="200"/>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w:t>
      </w:r>
      <w:r>
        <w:rPr>
          <w:rFonts w:hint="eastAsia" w:ascii="仿宋" w:hAnsi="仿宋" w:eastAsia="仿宋"/>
          <w:sz w:val="30"/>
          <w:szCs w:val="30"/>
        </w:rPr>
        <w:t>本</w:t>
      </w:r>
      <w:r>
        <w:rPr>
          <w:rFonts w:hint="eastAsia" w:ascii="仿宋" w:hAnsi="仿宋" w:eastAsia="仿宋"/>
          <w:kern w:val="0"/>
          <w:sz w:val="30"/>
          <w:szCs w:val="30"/>
        </w:rPr>
        <w:t>租赁标的物（明细见附件）</w:t>
      </w:r>
      <w:r>
        <w:rPr>
          <w:rFonts w:hint="eastAsia" w:ascii="仿宋" w:hAnsi="仿宋" w:eastAsia="仿宋"/>
          <w:sz w:val="30"/>
          <w:szCs w:val="30"/>
        </w:rPr>
        <w:t>招租租赁期限为3年，</w:t>
      </w:r>
      <w:r>
        <w:rPr>
          <w:rFonts w:ascii="仿宋" w:hAnsi="仿宋" w:eastAsia="仿宋"/>
          <w:sz w:val="30"/>
          <w:szCs w:val="30"/>
        </w:rPr>
        <w:t>招租</w:t>
      </w:r>
      <w:r>
        <w:rPr>
          <w:rFonts w:hint="eastAsia" w:ascii="仿宋" w:hAnsi="仿宋" w:eastAsia="仿宋"/>
          <w:sz w:val="30"/>
          <w:szCs w:val="30"/>
        </w:rPr>
        <w:t>起拍底价为25.9万元/年，租金每年递增5%。</w:t>
      </w:r>
    </w:p>
    <w:p>
      <w:pPr>
        <w:ind w:firstLine="600" w:firstLineChars="200"/>
        <w:rPr>
          <w:rFonts w:ascii="仿宋" w:hAnsi="仿宋" w:eastAsia="仿宋"/>
          <w:kern w:val="0"/>
          <w:sz w:val="30"/>
          <w:szCs w:val="30"/>
        </w:rPr>
      </w:pPr>
      <w:r>
        <w:rPr>
          <w:rFonts w:hint="eastAsia" w:ascii="仿宋" w:hAnsi="仿宋" w:eastAsia="仿宋"/>
          <w:sz w:val="30"/>
          <w:szCs w:val="30"/>
        </w:rPr>
        <w:t>4.</w:t>
      </w:r>
      <w:r>
        <w:rPr>
          <w:rFonts w:hint="eastAsia" w:ascii="仿宋" w:hAnsi="仿宋" w:eastAsia="仿宋"/>
          <w:kern w:val="0"/>
          <w:sz w:val="30"/>
          <w:szCs w:val="30"/>
        </w:rPr>
        <w:t>租金及其他费用收缴方式：租赁合同租金半年一付，履约保证金金额等于中标价首年第一季度租金金额，</w:t>
      </w:r>
      <w:r>
        <w:rPr>
          <w:rFonts w:hint="eastAsia" w:ascii="仿宋" w:hAnsi="仿宋" w:eastAsia="仿宋"/>
          <w:sz w:val="30"/>
          <w:szCs w:val="30"/>
        </w:rPr>
        <w:t>用电押金为</w:t>
      </w:r>
      <w:r>
        <w:rPr>
          <w:rFonts w:hint="eastAsia" w:ascii="仿宋" w:hAnsi="仿宋" w:eastAsia="仿宋"/>
          <w:sz w:val="30"/>
          <w:szCs w:val="30"/>
          <w:u w:val="single"/>
        </w:rPr>
        <w:t>贰万元整</w:t>
      </w:r>
      <w:r>
        <w:rPr>
          <w:rFonts w:hint="eastAsia" w:ascii="仿宋" w:hAnsi="仿宋" w:eastAsia="仿宋"/>
          <w:kern w:val="0"/>
          <w:sz w:val="30"/>
          <w:szCs w:val="30"/>
        </w:rPr>
        <w:t>。</w:t>
      </w:r>
      <w:r>
        <w:rPr>
          <w:rFonts w:hint="eastAsia" w:ascii="仿宋" w:hAnsi="仿宋" w:eastAsia="仿宋"/>
          <w:sz w:val="30"/>
          <w:szCs w:val="30"/>
        </w:rPr>
        <w:t>合同期满后，若承租方未出现违约情况，则履约保证金在承租方清缴完所有的相关费用后无息退还</w:t>
      </w:r>
      <w:r>
        <w:rPr>
          <w:rFonts w:hint="eastAsia" w:ascii="仿宋" w:hAnsi="仿宋" w:eastAsia="仿宋"/>
          <w:kern w:val="0"/>
          <w:sz w:val="30"/>
          <w:szCs w:val="30"/>
        </w:rPr>
        <w:t>。</w:t>
      </w:r>
    </w:p>
    <w:p>
      <w:pPr>
        <w:ind w:firstLine="600" w:firstLineChars="200"/>
        <w:rPr>
          <w:rFonts w:ascii="仿宋" w:hAnsi="仿宋" w:eastAsia="仿宋"/>
          <w:kern w:val="0"/>
          <w:sz w:val="30"/>
          <w:szCs w:val="30"/>
        </w:rPr>
      </w:pPr>
      <w:r>
        <w:rPr>
          <w:rFonts w:hint="eastAsia" w:ascii="仿宋" w:hAnsi="仿宋" w:eastAsia="仿宋"/>
          <w:kern w:val="0"/>
          <w:sz w:val="30"/>
          <w:szCs w:val="30"/>
        </w:rPr>
        <w:t>5.广告灯箱电费由承租方自行承担。</w:t>
      </w:r>
    </w:p>
    <w:p>
      <w:pPr>
        <w:ind w:firstLine="600" w:firstLineChars="200"/>
        <w:rPr>
          <w:rFonts w:ascii="仿宋" w:hAnsi="仿宋" w:eastAsia="仿宋"/>
          <w:sz w:val="30"/>
          <w:szCs w:val="30"/>
        </w:rPr>
      </w:pPr>
      <w:r>
        <w:rPr>
          <w:rFonts w:hint="eastAsia" w:ascii="仿宋" w:hAnsi="仿宋" w:eastAsia="仿宋"/>
          <w:sz w:val="30"/>
          <w:szCs w:val="30"/>
        </w:rPr>
        <w:t>6</w:t>
      </w:r>
      <w:r>
        <w:rPr>
          <w:rFonts w:ascii="仿宋" w:hAnsi="仿宋" w:eastAsia="仿宋"/>
          <w:sz w:val="30"/>
          <w:szCs w:val="30"/>
        </w:rPr>
        <w:t>.</w:t>
      </w:r>
      <w:r>
        <w:rPr>
          <w:rFonts w:hint="eastAsia" w:ascii="仿宋" w:hAnsi="仿宋" w:eastAsia="仿宋"/>
          <w:sz w:val="30"/>
          <w:szCs w:val="30"/>
        </w:rPr>
        <w:t>竞价</w:t>
      </w:r>
      <w:r>
        <w:rPr>
          <w:rFonts w:ascii="仿宋" w:hAnsi="仿宋" w:eastAsia="仿宋"/>
          <w:sz w:val="30"/>
          <w:szCs w:val="30"/>
        </w:rPr>
        <w:t>保证金</w:t>
      </w:r>
      <w:r>
        <w:rPr>
          <w:rFonts w:hint="eastAsia" w:ascii="仿宋" w:hAnsi="仿宋" w:eastAsia="仿宋"/>
          <w:sz w:val="30"/>
          <w:szCs w:val="30"/>
        </w:rPr>
        <w:t>为</w:t>
      </w:r>
      <w:r>
        <w:rPr>
          <w:rFonts w:hint="eastAsia" w:ascii="仿宋" w:hAnsi="仿宋" w:eastAsia="仿宋"/>
          <w:sz w:val="30"/>
          <w:szCs w:val="30"/>
          <w:lang w:val="en-US" w:eastAsia="zh-CN"/>
        </w:rPr>
        <w:t>贰</w:t>
      </w:r>
      <w:r>
        <w:rPr>
          <w:rFonts w:hint="eastAsia" w:ascii="仿宋" w:hAnsi="仿宋" w:eastAsia="仿宋"/>
          <w:sz w:val="30"/>
          <w:szCs w:val="30"/>
        </w:rPr>
        <w:t>万元</w:t>
      </w:r>
      <w:r>
        <w:rPr>
          <w:rFonts w:hint="eastAsia" w:ascii="仿宋" w:hAnsi="仿宋" w:eastAsia="仿宋"/>
          <w:sz w:val="30"/>
          <w:szCs w:val="30"/>
          <w:lang w:eastAsia="zh-CN"/>
        </w:rPr>
        <w:t>整</w:t>
      </w:r>
      <w:r>
        <w:rPr>
          <w:rFonts w:hint="eastAsia" w:ascii="仿宋" w:hAnsi="仿宋" w:eastAsia="仿宋"/>
          <w:sz w:val="30"/>
          <w:szCs w:val="30"/>
        </w:rPr>
        <w:t>。租赁合同</w:t>
      </w:r>
      <w:r>
        <w:rPr>
          <w:rFonts w:ascii="仿宋" w:hAnsi="仿宋" w:eastAsia="仿宋"/>
          <w:sz w:val="30"/>
          <w:szCs w:val="30"/>
        </w:rPr>
        <w:t>签订后，</w:t>
      </w:r>
      <w:r>
        <w:rPr>
          <w:rFonts w:hint="eastAsia" w:ascii="仿宋" w:hAnsi="仿宋" w:eastAsia="仿宋"/>
          <w:sz w:val="30"/>
          <w:szCs w:val="30"/>
        </w:rPr>
        <w:t>从该款项中扣除承租方应缴纳的招租代理费，余额部分退回承租方。</w:t>
      </w:r>
    </w:p>
    <w:p>
      <w:pPr>
        <w:ind w:firstLine="600" w:firstLineChars="200"/>
        <w:rPr>
          <w:rFonts w:ascii="仿宋" w:hAnsi="仿宋" w:eastAsia="仿宋"/>
          <w:sz w:val="30"/>
          <w:szCs w:val="30"/>
        </w:rPr>
      </w:pPr>
      <w:r>
        <w:rPr>
          <w:rFonts w:hint="eastAsia" w:ascii="仿宋" w:hAnsi="仿宋" w:eastAsia="仿宋"/>
          <w:sz w:val="30"/>
          <w:szCs w:val="30"/>
        </w:rPr>
        <w:t>竞标保证金缴交户名：厦门市政空间资源投资有限公司 ；</w:t>
      </w:r>
    </w:p>
    <w:p>
      <w:pPr>
        <w:ind w:firstLine="600" w:firstLineChars="200"/>
        <w:rPr>
          <w:rFonts w:ascii="仿宋" w:hAnsi="仿宋" w:eastAsia="仿宋"/>
          <w:sz w:val="30"/>
          <w:szCs w:val="30"/>
        </w:rPr>
      </w:pPr>
      <w:r>
        <w:rPr>
          <w:rFonts w:hint="eastAsia" w:ascii="仿宋" w:hAnsi="仿宋" w:eastAsia="仿宋"/>
          <w:sz w:val="30"/>
          <w:szCs w:val="30"/>
        </w:rPr>
        <w:t>账号：35101535001052502793 ；</w:t>
      </w:r>
    </w:p>
    <w:p>
      <w:pPr>
        <w:ind w:firstLine="600" w:firstLineChars="200"/>
        <w:rPr>
          <w:rFonts w:ascii="仿宋" w:hAnsi="仿宋" w:eastAsia="仿宋"/>
          <w:sz w:val="30"/>
          <w:szCs w:val="30"/>
        </w:rPr>
      </w:pPr>
      <w:r>
        <w:rPr>
          <w:rFonts w:hint="eastAsia" w:ascii="仿宋" w:hAnsi="仿宋" w:eastAsia="仿宋"/>
          <w:sz w:val="30"/>
          <w:szCs w:val="30"/>
        </w:rPr>
        <w:t>开户行：中国建设银行股份有限公司厦门市分行营业部。</w:t>
      </w:r>
    </w:p>
    <w:p>
      <w:pPr>
        <w:ind w:firstLine="588" w:firstLineChars="196"/>
        <w:rPr>
          <w:rFonts w:ascii="仿宋" w:hAnsi="仿宋" w:eastAsia="仿宋"/>
          <w:sz w:val="30"/>
          <w:szCs w:val="30"/>
        </w:rPr>
      </w:pPr>
      <w:r>
        <w:rPr>
          <w:rFonts w:ascii="仿宋" w:hAnsi="仿宋" w:eastAsia="仿宋"/>
          <w:sz w:val="30"/>
          <w:szCs w:val="30"/>
        </w:rPr>
        <w:t>7.</w:t>
      </w:r>
      <w:r>
        <w:rPr>
          <w:rFonts w:hint="eastAsia" w:ascii="仿宋" w:hAnsi="仿宋" w:eastAsia="仿宋"/>
          <w:sz w:val="30"/>
          <w:szCs w:val="30"/>
        </w:rPr>
        <w:t>若租赁合同未到期承租方提前撤租或违法经营，出现违反租赁合同约定事项等原因致使合同中止，招租方有权没收履约保证金，招租方有权要求承租方恢复本租赁标的物原样</w:t>
      </w:r>
      <w:r>
        <w:rPr>
          <w:rFonts w:hint="eastAsia" w:ascii="仿宋" w:hAnsi="仿宋" w:eastAsia="仿宋"/>
          <w:sz w:val="30"/>
          <w:szCs w:val="30"/>
          <w:lang w:val="en-US" w:eastAsia="zh-CN"/>
        </w:rPr>
        <w:t xml:space="preserve">  </w:t>
      </w:r>
      <w:r>
        <w:rPr>
          <w:rFonts w:hint="eastAsia" w:ascii="仿宋" w:hAnsi="仿宋" w:eastAsia="仿宋"/>
          <w:sz w:val="30"/>
          <w:szCs w:val="30"/>
        </w:rPr>
        <w:t>及承担其它经济损失赔偿。</w:t>
      </w:r>
    </w:p>
    <w:p>
      <w:pPr>
        <w:ind w:firstLine="600" w:firstLineChars="200"/>
        <w:rPr>
          <w:rFonts w:hint="eastAsia" w:ascii="仿宋" w:hAnsi="仿宋" w:eastAsia="仿宋"/>
          <w:sz w:val="30"/>
          <w:szCs w:val="30"/>
        </w:rPr>
      </w:pPr>
      <w:r>
        <w:rPr>
          <w:rFonts w:hint="eastAsia" w:ascii="仿宋" w:hAnsi="仿宋" w:eastAsia="仿宋"/>
          <w:sz w:val="30"/>
          <w:szCs w:val="30"/>
        </w:rPr>
        <w:t>8</w:t>
      </w:r>
      <w:r>
        <w:rPr>
          <w:rFonts w:ascii="仿宋" w:hAnsi="仿宋" w:eastAsia="仿宋"/>
          <w:sz w:val="30"/>
          <w:szCs w:val="30"/>
        </w:rPr>
        <w:t>.</w:t>
      </w:r>
      <w:r>
        <w:rPr>
          <w:rFonts w:hint="eastAsia" w:ascii="仿宋" w:hAnsi="仿宋" w:eastAsia="仿宋"/>
          <w:sz w:val="30"/>
          <w:szCs w:val="30"/>
        </w:rPr>
        <w:t>承租人</w:t>
      </w:r>
      <w:r>
        <w:rPr>
          <w:rFonts w:ascii="仿宋" w:hAnsi="仿宋" w:eastAsia="仿宋"/>
          <w:sz w:val="30"/>
          <w:szCs w:val="30"/>
        </w:rPr>
        <w:t>自行办理独立经营所需的工商、税务、消防有关手续。</w:t>
      </w:r>
      <w:r>
        <w:rPr>
          <w:rFonts w:hint="eastAsia" w:ascii="仿宋" w:hAnsi="仿宋" w:eastAsia="仿宋"/>
          <w:sz w:val="30"/>
          <w:szCs w:val="30"/>
        </w:rPr>
        <w:t>承租人自行承担经营期间的</w:t>
      </w:r>
      <w:r>
        <w:rPr>
          <w:rFonts w:ascii="仿宋" w:hAnsi="仿宋" w:eastAsia="仿宋"/>
          <w:sz w:val="30"/>
          <w:szCs w:val="30"/>
        </w:rPr>
        <w:t>水、电、通讯、设备、</w:t>
      </w:r>
      <w:r>
        <w:rPr>
          <w:rFonts w:hint="eastAsia" w:ascii="仿宋" w:hAnsi="仿宋" w:eastAsia="仿宋"/>
          <w:sz w:val="30"/>
          <w:szCs w:val="30"/>
        </w:rPr>
        <w:t>维修费等</w:t>
      </w:r>
      <w:bookmarkStart w:id="0" w:name="_GoBack"/>
      <w:bookmarkEnd w:id="0"/>
      <w:r>
        <w:rPr>
          <w:rFonts w:hint="eastAsia" w:ascii="仿宋" w:hAnsi="仿宋" w:eastAsia="仿宋"/>
          <w:sz w:val="30"/>
          <w:szCs w:val="30"/>
        </w:rPr>
        <w:t>相关的经营费用。</w:t>
      </w:r>
    </w:p>
    <w:p>
      <w:pPr>
        <w:rPr>
          <w:rFonts w:hint="eastAsia" w:ascii="仿宋" w:hAnsi="仿宋" w:eastAsia="仿宋"/>
          <w:sz w:val="30"/>
          <w:szCs w:val="30"/>
        </w:rPr>
      </w:pPr>
    </w:p>
    <w:p>
      <w:pPr>
        <w:ind w:left="0" w:leftChars="0" w:firstLine="3900" w:firstLineChars="1300"/>
        <w:jc w:val="left"/>
        <w:rPr>
          <w:rFonts w:hint="eastAsia" w:ascii="仿宋" w:hAnsi="仿宋" w:eastAsia="仿宋"/>
          <w:sz w:val="30"/>
          <w:szCs w:val="30"/>
        </w:rPr>
      </w:pPr>
      <w:r>
        <w:rPr>
          <w:rFonts w:hint="eastAsia" w:ascii="仿宋" w:hAnsi="仿宋" w:eastAsia="仿宋"/>
          <w:sz w:val="30"/>
          <w:szCs w:val="30"/>
        </w:rPr>
        <w:t xml:space="preserve">厦门市政空间资源投资有限公司 </w:t>
      </w:r>
    </w:p>
    <w:p>
      <w:pPr>
        <w:ind w:left="0" w:leftChars="0" w:firstLine="0" w:firstLineChars="0"/>
        <w:jc w:val="lef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2021年9月9日</w:t>
      </w:r>
    </w:p>
    <w:p>
      <w:pPr>
        <w:ind w:left="0" w:leftChars="0" w:firstLine="0" w:firstLineChars="0"/>
        <w:rPr>
          <w:rFonts w:ascii="仿宋" w:hAnsi="仿宋" w:eastAsia="仿宋"/>
          <w:sz w:val="30"/>
          <w:szCs w:val="30"/>
        </w:rPr>
      </w:pPr>
    </w:p>
    <w:p>
      <w:pPr>
        <w:tabs>
          <w:tab w:val="left" w:pos="312"/>
        </w:tabs>
        <w:spacing w:line="560" w:lineRule="exact"/>
        <w:rPr>
          <w:rFonts w:asciiTheme="majorEastAsia" w:hAnsiTheme="majorEastAsia" w:eastAsiaTheme="majorEastAsia"/>
          <w:b/>
          <w:sz w:val="30"/>
          <w:szCs w:val="30"/>
        </w:rPr>
      </w:pPr>
      <w:r>
        <w:rPr>
          <w:rFonts w:hint="eastAsia" w:ascii="黑体" w:hAnsi="黑体" w:eastAsia="黑体" w:cs="黑体"/>
          <w:sz w:val="30"/>
          <w:szCs w:val="30"/>
        </w:rPr>
        <w:t>附件：</w:t>
      </w:r>
    </w:p>
    <w:p>
      <w:pPr>
        <w:autoSpaceDE w:val="0"/>
        <w:autoSpaceDN w:val="0"/>
        <w:adjustRightInd w:val="0"/>
        <w:spacing w:afterLines="50" w:line="500" w:lineRule="exact"/>
        <w:ind w:firstLine="588" w:firstLineChars="196"/>
        <w:jc w:val="center"/>
        <w:rPr>
          <w:rFonts w:ascii="楷体" w:hAnsi="楷体" w:eastAsia="楷体"/>
          <w:kern w:val="0"/>
          <w:sz w:val="30"/>
          <w:szCs w:val="30"/>
        </w:rPr>
      </w:pPr>
      <w:r>
        <w:rPr>
          <w:rFonts w:hint="eastAsia" w:ascii="楷体" w:hAnsi="楷体" w:eastAsia="楷体"/>
          <w:kern w:val="0"/>
          <w:sz w:val="30"/>
          <w:szCs w:val="30"/>
        </w:rPr>
        <w:t>资产明细表</w:t>
      </w:r>
    </w:p>
    <w:tbl>
      <w:tblPr>
        <w:tblStyle w:val="7"/>
        <w:tblW w:w="0" w:type="auto"/>
        <w:tblInd w:w="93" w:type="dxa"/>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559"/>
        <w:gridCol w:w="1484"/>
        <w:gridCol w:w="2136"/>
        <w:gridCol w:w="2496"/>
        <w:gridCol w:w="696"/>
        <w:gridCol w:w="1142"/>
      </w:tblGrid>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shd w:val="clear" w:color="auto" w:fill="auto"/>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序号</w:t>
            </w:r>
          </w:p>
        </w:tc>
        <w:tc>
          <w:tcPr>
            <w:tcW w:w="0" w:type="auto"/>
            <w:gridSpan w:val="2"/>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位置</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规格</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面积</w:t>
            </w:r>
          </w:p>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(m</w:t>
            </w:r>
            <w:r>
              <w:rPr>
                <w:rFonts w:hint="eastAsia" w:ascii="楷体" w:hAnsi="楷体" w:eastAsia="楷体" w:cs="宋体"/>
                <w:color w:val="000000"/>
                <w:kern w:val="0"/>
                <w:sz w:val="24"/>
                <w:vertAlign w:val="superscript"/>
              </w:rPr>
              <w:t>2</w:t>
            </w:r>
            <w:r>
              <w:rPr>
                <w:rFonts w:hint="eastAsia" w:ascii="楷体" w:hAnsi="楷体" w:eastAsia="楷体" w:cs="宋体"/>
                <w:color w:val="000000"/>
                <w:kern w:val="0"/>
                <w:sz w:val="24"/>
              </w:rPr>
              <w:t>)</w:t>
            </w:r>
          </w:p>
        </w:tc>
        <w:tc>
          <w:tcPr>
            <w:tcW w:w="0" w:type="auto"/>
            <w:shd w:val="clear" w:color="auto" w:fill="auto"/>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数量（面）</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restart"/>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c>
          <w:tcPr>
            <w:tcW w:w="0" w:type="auto"/>
            <w:vMerge w:val="restart"/>
            <w:shd w:val="clear" w:color="auto" w:fill="auto"/>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上古街停车楼</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负一层取车点</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4*1.3（立地双面型）</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5.2</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围栏</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2.3*1.2</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2.76</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6</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通道墙面</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2.4*1.2</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3.12</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7</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gridSpan w:val="5"/>
            <w:shd w:val="clear" w:color="auto" w:fill="auto"/>
            <w:noWrap/>
            <w:vAlign w:val="center"/>
          </w:tcPr>
          <w:p>
            <w:pPr>
              <w:widowControl/>
              <w:jc w:val="center"/>
              <w:rPr>
                <w:rFonts w:ascii="楷体" w:hAnsi="楷体" w:eastAsia="楷体" w:cs="宋体"/>
                <w:b/>
                <w:bCs/>
                <w:color w:val="000000"/>
                <w:kern w:val="0"/>
                <w:sz w:val="24"/>
              </w:rPr>
            </w:pPr>
            <w:r>
              <w:rPr>
                <w:rFonts w:hint="eastAsia" w:ascii="楷体" w:hAnsi="楷体" w:eastAsia="楷体" w:cs="宋体"/>
                <w:b/>
                <w:bCs/>
                <w:color w:val="000000"/>
                <w:kern w:val="0"/>
                <w:sz w:val="24"/>
              </w:rPr>
              <w:t>小计（1）</w:t>
            </w:r>
          </w:p>
        </w:tc>
        <w:tc>
          <w:tcPr>
            <w:tcW w:w="0" w:type="auto"/>
            <w:shd w:val="clear" w:color="auto" w:fill="auto"/>
            <w:noWrap/>
            <w:vAlign w:val="center"/>
          </w:tcPr>
          <w:p>
            <w:pPr>
              <w:widowControl/>
              <w:jc w:val="center"/>
              <w:rPr>
                <w:rFonts w:ascii="楷体" w:hAnsi="楷体" w:eastAsia="楷体" w:cs="宋体"/>
                <w:b/>
                <w:bCs/>
                <w:color w:val="000000"/>
                <w:kern w:val="0"/>
                <w:sz w:val="24"/>
              </w:rPr>
            </w:pPr>
            <w:r>
              <w:rPr>
                <w:rFonts w:hint="eastAsia" w:ascii="楷体" w:hAnsi="楷体" w:eastAsia="楷体" w:cs="宋体"/>
                <w:b/>
                <w:bCs/>
                <w:color w:val="000000"/>
                <w:kern w:val="0"/>
                <w:sz w:val="24"/>
              </w:rPr>
              <w:t>14</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restart"/>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2</w:t>
            </w:r>
          </w:p>
        </w:tc>
        <w:tc>
          <w:tcPr>
            <w:tcW w:w="0" w:type="auto"/>
            <w:vMerge w:val="restart"/>
            <w:shd w:val="clear" w:color="auto" w:fill="auto"/>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凤凰园公共停车库</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出口墙体两侧</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1.6*1.4</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2.24</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2</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入口侧面</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3.8*1.5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5.32</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gridSpan w:val="5"/>
            <w:shd w:val="clear" w:color="auto" w:fill="auto"/>
            <w:noWrap/>
            <w:vAlign w:val="center"/>
          </w:tcPr>
          <w:p>
            <w:pPr>
              <w:widowControl/>
              <w:jc w:val="center"/>
              <w:rPr>
                <w:rFonts w:ascii="楷体" w:hAnsi="楷体" w:eastAsia="楷体" w:cs="宋体"/>
                <w:b/>
                <w:bCs/>
                <w:color w:val="000000"/>
                <w:kern w:val="0"/>
                <w:sz w:val="24"/>
              </w:rPr>
            </w:pPr>
            <w:r>
              <w:rPr>
                <w:rFonts w:hint="eastAsia" w:ascii="楷体" w:hAnsi="楷体" w:eastAsia="楷体" w:cs="宋体"/>
                <w:b/>
                <w:bCs/>
                <w:color w:val="000000"/>
                <w:kern w:val="0"/>
                <w:sz w:val="24"/>
              </w:rPr>
              <w:t>小计（2）</w:t>
            </w:r>
          </w:p>
        </w:tc>
        <w:tc>
          <w:tcPr>
            <w:tcW w:w="0" w:type="auto"/>
            <w:shd w:val="clear" w:color="auto" w:fill="auto"/>
            <w:noWrap/>
            <w:vAlign w:val="center"/>
          </w:tcPr>
          <w:p>
            <w:pPr>
              <w:widowControl/>
              <w:jc w:val="center"/>
              <w:rPr>
                <w:rFonts w:ascii="楷体" w:hAnsi="楷体" w:eastAsia="楷体" w:cs="宋体"/>
                <w:b/>
                <w:bCs/>
                <w:color w:val="000000"/>
                <w:kern w:val="0"/>
                <w:sz w:val="24"/>
              </w:rPr>
            </w:pPr>
            <w:r>
              <w:rPr>
                <w:rFonts w:hint="eastAsia" w:ascii="楷体" w:hAnsi="楷体" w:eastAsia="楷体" w:cs="宋体"/>
                <w:b/>
                <w:bCs/>
                <w:color w:val="000000"/>
                <w:kern w:val="0"/>
                <w:sz w:val="24"/>
              </w:rPr>
              <w:t>3</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restart"/>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3</w:t>
            </w:r>
          </w:p>
        </w:tc>
        <w:tc>
          <w:tcPr>
            <w:tcW w:w="0" w:type="auto"/>
            <w:vMerge w:val="restart"/>
            <w:shd w:val="clear" w:color="auto" w:fill="auto"/>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万寿路外口停车库</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一层出入口隔离栏</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3*1.5（双面型）</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4.5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通道墙面</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4.2*1.8</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7.56</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2</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2楼出口墙面</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3*1.6</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4.8</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gridSpan w:val="5"/>
            <w:shd w:val="clear" w:color="auto" w:fill="auto"/>
            <w:noWrap/>
            <w:vAlign w:val="center"/>
          </w:tcPr>
          <w:p>
            <w:pPr>
              <w:widowControl/>
              <w:jc w:val="center"/>
              <w:rPr>
                <w:rFonts w:ascii="楷体" w:hAnsi="楷体" w:eastAsia="楷体" w:cs="宋体"/>
                <w:b/>
                <w:bCs/>
                <w:color w:val="000000"/>
                <w:kern w:val="0"/>
                <w:sz w:val="24"/>
              </w:rPr>
            </w:pPr>
            <w:r>
              <w:rPr>
                <w:rFonts w:hint="eastAsia" w:ascii="楷体" w:hAnsi="楷体" w:eastAsia="楷体" w:cs="宋体"/>
                <w:b/>
                <w:bCs/>
                <w:color w:val="000000"/>
                <w:kern w:val="0"/>
                <w:sz w:val="24"/>
              </w:rPr>
              <w:t>小计（3）</w:t>
            </w:r>
          </w:p>
        </w:tc>
        <w:tc>
          <w:tcPr>
            <w:tcW w:w="0" w:type="auto"/>
            <w:shd w:val="clear" w:color="auto" w:fill="auto"/>
            <w:noWrap/>
            <w:vAlign w:val="center"/>
          </w:tcPr>
          <w:p>
            <w:pPr>
              <w:widowControl/>
              <w:jc w:val="center"/>
              <w:rPr>
                <w:rFonts w:ascii="楷体" w:hAnsi="楷体" w:eastAsia="楷体" w:cs="宋体"/>
                <w:b/>
                <w:bCs/>
                <w:color w:val="000000"/>
                <w:kern w:val="0"/>
                <w:sz w:val="24"/>
              </w:rPr>
            </w:pPr>
            <w:r>
              <w:rPr>
                <w:rFonts w:hint="eastAsia" w:ascii="楷体" w:hAnsi="楷体" w:eastAsia="楷体" w:cs="宋体"/>
                <w:b/>
                <w:bCs/>
                <w:color w:val="000000"/>
                <w:kern w:val="0"/>
                <w:sz w:val="24"/>
              </w:rPr>
              <w:t>4</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restart"/>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4</w:t>
            </w:r>
          </w:p>
        </w:tc>
        <w:tc>
          <w:tcPr>
            <w:tcW w:w="0" w:type="auto"/>
            <w:vMerge w:val="restart"/>
            <w:shd w:val="clear" w:color="auto" w:fill="auto"/>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厦大南普陀地下停车场</w:t>
            </w:r>
          </w:p>
        </w:tc>
        <w:tc>
          <w:tcPr>
            <w:tcW w:w="0" w:type="auto"/>
            <w:vMerge w:val="restart"/>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人行通道</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5*1.5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7.5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2</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3*1.5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4.5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10</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vMerge w:val="restart"/>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南侧走梯</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3*1.5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4.5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3</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3*1.2</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4.5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北侧走梯门楣</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4*1.5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6</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两侧墙面</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2.7*1.5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4.05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2</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入口门楣</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6.8*1.5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10.2</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墙面</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5*2</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10</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入口通道柱间</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3.8*1.8（双面型）</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6.84</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负二层入口门楣</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3.5*3</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10.5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gridSpan w:val="5"/>
            <w:shd w:val="clear" w:color="auto" w:fill="auto"/>
            <w:noWrap/>
            <w:vAlign w:val="center"/>
          </w:tcPr>
          <w:p>
            <w:pPr>
              <w:widowControl/>
              <w:jc w:val="center"/>
              <w:rPr>
                <w:rFonts w:ascii="楷体" w:hAnsi="楷体" w:eastAsia="楷体" w:cs="宋体"/>
                <w:b/>
                <w:bCs/>
                <w:color w:val="000000"/>
                <w:kern w:val="0"/>
                <w:sz w:val="24"/>
              </w:rPr>
            </w:pPr>
            <w:r>
              <w:rPr>
                <w:rFonts w:hint="eastAsia" w:ascii="楷体" w:hAnsi="楷体" w:eastAsia="楷体" w:cs="宋体"/>
                <w:b/>
                <w:bCs/>
                <w:color w:val="000000"/>
                <w:kern w:val="0"/>
                <w:sz w:val="24"/>
              </w:rPr>
              <w:t>小计（4）</w:t>
            </w:r>
          </w:p>
        </w:tc>
        <w:tc>
          <w:tcPr>
            <w:tcW w:w="0" w:type="auto"/>
            <w:shd w:val="clear" w:color="auto" w:fill="auto"/>
            <w:noWrap/>
            <w:vAlign w:val="center"/>
          </w:tcPr>
          <w:p>
            <w:pPr>
              <w:widowControl/>
              <w:jc w:val="center"/>
              <w:rPr>
                <w:rFonts w:ascii="楷体" w:hAnsi="楷体" w:eastAsia="楷体" w:cs="宋体"/>
                <w:b/>
                <w:bCs/>
                <w:color w:val="000000"/>
                <w:kern w:val="0"/>
                <w:sz w:val="24"/>
              </w:rPr>
            </w:pPr>
            <w:r>
              <w:rPr>
                <w:rFonts w:hint="eastAsia" w:ascii="楷体" w:hAnsi="楷体" w:eastAsia="楷体" w:cs="宋体"/>
                <w:b/>
                <w:bCs/>
                <w:color w:val="000000"/>
                <w:kern w:val="0"/>
                <w:sz w:val="24"/>
              </w:rPr>
              <w:t>23</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restart"/>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5</w:t>
            </w:r>
          </w:p>
        </w:tc>
        <w:tc>
          <w:tcPr>
            <w:tcW w:w="0" w:type="auto"/>
            <w:vMerge w:val="restart"/>
            <w:shd w:val="clear" w:color="auto" w:fill="auto"/>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前埔南区小学地下停车场</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入口门楣</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4*2</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8</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vMerge w:val="continue"/>
            <w:vAlign w:val="center"/>
          </w:tcPr>
          <w:p>
            <w:pPr>
              <w:widowControl/>
              <w:jc w:val="left"/>
              <w:rPr>
                <w:rFonts w:ascii="楷体" w:hAnsi="楷体" w:eastAsia="楷体" w:cs="宋体"/>
                <w:color w:val="000000"/>
                <w:kern w:val="0"/>
                <w:sz w:val="24"/>
              </w:rPr>
            </w:pPr>
          </w:p>
        </w:tc>
        <w:tc>
          <w:tcPr>
            <w:tcW w:w="0" w:type="auto"/>
            <w:vMerge w:val="continue"/>
            <w:vAlign w:val="center"/>
          </w:tcPr>
          <w:p>
            <w:pPr>
              <w:widowControl/>
              <w:jc w:val="left"/>
              <w:rPr>
                <w:rFonts w:ascii="楷体" w:hAnsi="楷体" w:eastAsia="楷体" w:cs="宋体"/>
                <w:color w:val="000000"/>
                <w:kern w:val="0"/>
                <w:sz w:val="24"/>
              </w:rPr>
            </w:pP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出口正面墙</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3*1.5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4.5</w:t>
            </w:r>
          </w:p>
        </w:tc>
        <w:tc>
          <w:tcPr>
            <w:tcW w:w="0" w:type="auto"/>
            <w:shd w:val="clear" w:color="auto" w:fill="auto"/>
            <w:noWrap/>
            <w:vAlign w:val="center"/>
          </w:tcPr>
          <w:p>
            <w:pPr>
              <w:widowControl/>
              <w:jc w:val="center"/>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gridSpan w:val="5"/>
            <w:shd w:val="clear" w:color="auto" w:fill="auto"/>
            <w:noWrap/>
            <w:vAlign w:val="center"/>
          </w:tcPr>
          <w:p>
            <w:pPr>
              <w:widowControl/>
              <w:jc w:val="center"/>
              <w:rPr>
                <w:rFonts w:ascii="楷体" w:hAnsi="楷体" w:eastAsia="楷体" w:cs="宋体"/>
                <w:b/>
                <w:bCs/>
                <w:color w:val="000000"/>
                <w:kern w:val="0"/>
                <w:sz w:val="24"/>
              </w:rPr>
            </w:pPr>
            <w:r>
              <w:rPr>
                <w:rFonts w:hint="eastAsia" w:ascii="楷体" w:hAnsi="楷体" w:eastAsia="楷体" w:cs="宋体"/>
                <w:b/>
                <w:bCs/>
                <w:color w:val="000000"/>
                <w:kern w:val="0"/>
                <w:sz w:val="24"/>
              </w:rPr>
              <w:t>小计（5）</w:t>
            </w:r>
          </w:p>
        </w:tc>
        <w:tc>
          <w:tcPr>
            <w:tcW w:w="0" w:type="auto"/>
            <w:shd w:val="clear" w:color="auto" w:fill="auto"/>
            <w:noWrap/>
            <w:vAlign w:val="center"/>
          </w:tcPr>
          <w:p>
            <w:pPr>
              <w:widowControl/>
              <w:jc w:val="center"/>
              <w:rPr>
                <w:rFonts w:ascii="楷体" w:hAnsi="楷体" w:eastAsia="楷体" w:cs="宋体"/>
                <w:b/>
                <w:bCs/>
                <w:color w:val="000000"/>
                <w:kern w:val="0"/>
                <w:sz w:val="24"/>
              </w:rPr>
            </w:pPr>
            <w:r>
              <w:rPr>
                <w:rFonts w:hint="eastAsia" w:ascii="楷体" w:hAnsi="楷体" w:eastAsia="楷体" w:cs="宋体"/>
                <w:b/>
                <w:bCs/>
                <w:color w:val="000000"/>
                <w:kern w:val="0"/>
                <w:sz w:val="24"/>
              </w:rPr>
              <w:t>2</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0" w:type="auto"/>
            <w:gridSpan w:val="5"/>
            <w:shd w:val="clear" w:color="auto" w:fill="auto"/>
            <w:noWrap/>
            <w:vAlign w:val="bottom"/>
          </w:tcPr>
          <w:p>
            <w:pPr>
              <w:widowControl/>
              <w:jc w:val="center"/>
              <w:rPr>
                <w:rFonts w:ascii="楷体" w:hAnsi="楷体" w:eastAsia="楷体" w:cs="宋体"/>
                <w:b/>
                <w:bCs/>
                <w:color w:val="000000"/>
                <w:kern w:val="0"/>
                <w:sz w:val="24"/>
              </w:rPr>
            </w:pPr>
            <w:r>
              <w:rPr>
                <w:rFonts w:hint="eastAsia" w:ascii="楷体" w:hAnsi="楷体" w:eastAsia="楷体" w:cs="宋体"/>
                <w:b/>
                <w:bCs/>
                <w:color w:val="000000"/>
                <w:kern w:val="0"/>
                <w:sz w:val="24"/>
              </w:rPr>
              <w:t>合计</w:t>
            </w:r>
          </w:p>
        </w:tc>
        <w:tc>
          <w:tcPr>
            <w:tcW w:w="0" w:type="auto"/>
            <w:shd w:val="clear" w:color="auto" w:fill="auto"/>
            <w:noWrap/>
            <w:vAlign w:val="bottom"/>
          </w:tcPr>
          <w:p>
            <w:pPr>
              <w:widowControl/>
              <w:jc w:val="center"/>
              <w:rPr>
                <w:rFonts w:ascii="楷体" w:hAnsi="楷体" w:eastAsia="楷体" w:cs="宋体"/>
                <w:b/>
                <w:bCs/>
                <w:color w:val="000000"/>
                <w:kern w:val="0"/>
                <w:sz w:val="24"/>
              </w:rPr>
            </w:pPr>
            <w:r>
              <w:rPr>
                <w:rFonts w:hint="eastAsia" w:ascii="楷体" w:hAnsi="楷体" w:eastAsia="楷体" w:cs="宋体"/>
                <w:b/>
                <w:bCs/>
                <w:color w:val="000000"/>
                <w:kern w:val="0"/>
                <w:sz w:val="24"/>
              </w:rPr>
              <w:t>46</w:t>
            </w:r>
          </w:p>
        </w:tc>
      </w:tr>
    </w:tbl>
    <w:p>
      <w:pPr>
        <w:spacing w:afterLines="50"/>
        <w:ind w:firstLine="883" w:firstLineChars="200"/>
        <w:rPr>
          <w:rFonts w:asciiTheme="majorEastAsia" w:hAnsiTheme="majorEastAsia" w:eastAsiaTheme="majorEastAsia"/>
          <w:b/>
          <w:sz w:val="44"/>
          <w:szCs w:val="44"/>
        </w:rPr>
      </w:pPr>
    </w:p>
    <w:p/>
    <w:sectPr>
      <w:headerReference r:id="rId5" w:type="first"/>
      <w:footerReference r:id="rId8" w:type="first"/>
      <w:headerReference r:id="rId3" w:type="default"/>
      <w:footerReference r:id="rId6" w:type="default"/>
      <w:headerReference r:id="rId4" w:type="even"/>
      <w:footerReference r:id="rId7" w:type="even"/>
      <w:pgSz w:w="11906" w:h="16838"/>
      <w:pgMar w:top="1021" w:right="1758" w:bottom="1134" w:left="175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43625"/>
    </w:sdtPr>
    <w:sdtContent>
      <w:p>
        <w:pPr>
          <w:pStyle w:val="5"/>
          <w:jc w:val="center"/>
        </w:pPr>
        <w:r>
          <w:fldChar w:fldCharType="begin"/>
        </w:r>
        <w:r>
          <w:instrText xml:space="preserve"> PAGE   \* MERGEFORMAT </w:instrText>
        </w:r>
        <w:r>
          <w:fldChar w:fldCharType="separate"/>
        </w:r>
        <w:r>
          <w:rPr>
            <w:lang w:val="zh-CN"/>
          </w:rPr>
          <w:t>4</w:t>
        </w:r>
        <w: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3F4"/>
    <w:rsid w:val="00027733"/>
    <w:rsid w:val="0007134C"/>
    <w:rsid w:val="000F06BF"/>
    <w:rsid w:val="00150AD0"/>
    <w:rsid w:val="00160EA3"/>
    <w:rsid w:val="001A1813"/>
    <w:rsid w:val="001B44E0"/>
    <w:rsid w:val="001E5FEF"/>
    <w:rsid w:val="0020624F"/>
    <w:rsid w:val="002424D8"/>
    <w:rsid w:val="00253A34"/>
    <w:rsid w:val="003157D7"/>
    <w:rsid w:val="0035024F"/>
    <w:rsid w:val="003A6B36"/>
    <w:rsid w:val="003F10E1"/>
    <w:rsid w:val="0041743C"/>
    <w:rsid w:val="004441E7"/>
    <w:rsid w:val="00445292"/>
    <w:rsid w:val="004C37E4"/>
    <w:rsid w:val="004C470C"/>
    <w:rsid w:val="004E4439"/>
    <w:rsid w:val="004F3C9E"/>
    <w:rsid w:val="004F41C0"/>
    <w:rsid w:val="00504DA9"/>
    <w:rsid w:val="005363F4"/>
    <w:rsid w:val="00566D4C"/>
    <w:rsid w:val="00575A90"/>
    <w:rsid w:val="005A437A"/>
    <w:rsid w:val="005B372D"/>
    <w:rsid w:val="005B40E4"/>
    <w:rsid w:val="005F7836"/>
    <w:rsid w:val="00640A17"/>
    <w:rsid w:val="00642096"/>
    <w:rsid w:val="00646B0E"/>
    <w:rsid w:val="007053E3"/>
    <w:rsid w:val="00744B42"/>
    <w:rsid w:val="0074757F"/>
    <w:rsid w:val="007655BD"/>
    <w:rsid w:val="0077409A"/>
    <w:rsid w:val="00780632"/>
    <w:rsid w:val="0078441B"/>
    <w:rsid w:val="007A35ED"/>
    <w:rsid w:val="007D077B"/>
    <w:rsid w:val="007F2B40"/>
    <w:rsid w:val="007F4024"/>
    <w:rsid w:val="00824A2B"/>
    <w:rsid w:val="00825367"/>
    <w:rsid w:val="00870E9D"/>
    <w:rsid w:val="00897001"/>
    <w:rsid w:val="008A470F"/>
    <w:rsid w:val="008A792D"/>
    <w:rsid w:val="008E4FE4"/>
    <w:rsid w:val="00914DF2"/>
    <w:rsid w:val="009464F4"/>
    <w:rsid w:val="009509CC"/>
    <w:rsid w:val="009F282E"/>
    <w:rsid w:val="00A01773"/>
    <w:rsid w:val="00B1317E"/>
    <w:rsid w:val="00B22300"/>
    <w:rsid w:val="00B92DA9"/>
    <w:rsid w:val="00BA370A"/>
    <w:rsid w:val="00BD0ABA"/>
    <w:rsid w:val="00BF0784"/>
    <w:rsid w:val="00C2698C"/>
    <w:rsid w:val="00C71F02"/>
    <w:rsid w:val="00C870E4"/>
    <w:rsid w:val="00D13EEA"/>
    <w:rsid w:val="00D20477"/>
    <w:rsid w:val="00D35A87"/>
    <w:rsid w:val="00D35B1D"/>
    <w:rsid w:val="00D73A0C"/>
    <w:rsid w:val="00D921A8"/>
    <w:rsid w:val="00DC4744"/>
    <w:rsid w:val="00E777C7"/>
    <w:rsid w:val="00F532E6"/>
    <w:rsid w:val="00FB3954"/>
    <w:rsid w:val="03AE5D1F"/>
    <w:rsid w:val="0B62024D"/>
    <w:rsid w:val="0C1E6E61"/>
    <w:rsid w:val="103C77DD"/>
    <w:rsid w:val="15613456"/>
    <w:rsid w:val="28C67E08"/>
    <w:rsid w:val="297A34AD"/>
    <w:rsid w:val="33B417EB"/>
    <w:rsid w:val="514026C9"/>
    <w:rsid w:val="51594FF1"/>
    <w:rsid w:val="58E80652"/>
    <w:rsid w:val="5A7523B8"/>
    <w:rsid w:val="655542F3"/>
    <w:rsid w:val="697A5542"/>
    <w:rsid w:val="6A773D9B"/>
    <w:rsid w:val="79517B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List 3"/>
    <w:basedOn w:val="1"/>
    <w:qFormat/>
    <w:uiPriority w:val="0"/>
    <w:pPr>
      <w:autoSpaceDE w:val="0"/>
      <w:autoSpaceDN w:val="0"/>
      <w:adjustRightInd w:val="0"/>
      <w:ind w:left="1260" w:hanging="420"/>
      <w:jc w:val="left"/>
    </w:pPr>
    <w:rPr>
      <w:rFonts w:ascii="宋体"/>
      <w:kern w:val="0"/>
      <w:sz w:val="20"/>
      <w:szCs w:val="20"/>
    </w:rPr>
  </w:style>
  <w:style w:type="paragraph" w:styleId="3">
    <w:name w:val="Body Text Indent"/>
    <w:basedOn w:val="1"/>
    <w:link w:val="9"/>
    <w:qFormat/>
    <w:uiPriority w:val="0"/>
    <w:pPr>
      <w:spacing w:after="120"/>
      <w:ind w:left="420" w:leftChars="200"/>
    </w:pPr>
  </w:style>
  <w:style w:type="paragraph" w:styleId="4">
    <w:name w:val="Balloon Text"/>
    <w:basedOn w:val="1"/>
    <w:link w:val="10"/>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正文文本缩进 Char"/>
    <w:basedOn w:val="8"/>
    <w:link w:val="3"/>
    <w:qFormat/>
    <w:uiPriority w:val="0"/>
    <w:rPr>
      <w:rFonts w:ascii="Times New Roman" w:hAnsi="Times New Roman" w:eastAsia="宋体" w:cs="Times New Roman"/>
      <w:szCs w:val="24"/>
    </w:rPr>
  </w:style>
  <w:style w:type="character" w:customStyle="1" w:styleId="10">
    <w:name w:val="批注框文本 Char"/>
    <w:basedOn w:val="8"/>
    <w:link w:val="4"/>
    <w:semiHidden/>
    <w:qFormat/>
    <w:uiPriority w:val="99"/>
    <w:rPr>
      <w:rFonts w:ascii="Times New Roman" w:hAnsi="Times New Roman" w:eastAsia="宋体" w:cs="Times New Roman"/>
      <w:kern w:val="2"/>
      <w:sz w:val="18"/>
      <w:szCs w:val="18"/>
    </w:rPr>
  </w:style>
  <w:style w:type="character" w:customStyle="1" w:styleId="11">
    <w:name w:val="页眉 Char"/>
    <w:basedOn w:val="8"/>
    <w:link w:val="6"/>
    <w:qFormat/>
    <w:uiPriority w:val="99"/>
    <w:rPr>
      <w:rFonts w:ascii="Times New Roman" w:hAnsi="Times New Roman" w:eastAsia="宋体" w:cs="Times New Roman"/>
      <w:kern w:val="2"/>
      <w:sz w:val="18"/>
      <w:szCs w:val="18"/>
    </w:rPr>
  </w:style>
  <w:style w:type="character" w:customStyle="1" w:styleId="12">
    <w:name w:val="页脚 Char"/>
    <w:basedOn w:val="8"/>
    <w:link w:val="5"/>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290</Words>
  <Characters>1656</Characters>
  <Lines>13</Lines>
  <Paragraphs>3</Paragraphs>
  <TotalTime>29</TotalTime>
  <ScaleCrop>false</ScaleCrop>
  <LinksUpToDate>false</LinksUpToDate>
  <CharactersWithSpaces>1943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2021-09-08T16:21:00Z</dcterms:created>
  <dc:creator>黄旭腾</dc:creator>
  <cp:lastModifiedBy>沈江虹</cp:lastModifiedBy>
  <cp:lastPrinted>2021-09-10T01:02:33Z</cp:lastPrinted>
  <dcterms:modified xsi:type="dcterms:W3CDTF">2021-09-10T01:23:50Z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5E7A74DEE34347C38AF56B7D5365B0ED</vt:lpwstr>
  </property>
</Properties>
</file>